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FFD9A" w14:textId="77777777" w:rsidR="007A615A" w:rsidRPr="0004727C" w:rsidRDefault="0004727C" w:rsidP="0004727C">
      <w:pPr>
        <w:jc w:val="center"/>
        <w:rPr>
          <w:b/>
          <w:sz w:val="36"/>
          <w:szCs w:val="36"/>
        </w:rPr>
      </w:pPr>
      <w:r w:rsidRPr="0004727C">
        <w:rPr>
          <w:b/>
          <w:sz w:val="36"/>
          <w:szCs w:val="36"/>
        </w:rPr>
        <w:t>DOC</w:t>
      </w:r>
      <w:r>
        <w:rPr>
          <w:b/>
          <w:sz w:val="36"/>
          <w:szCs w:val="36"/>
        </w:rPr>
        <w:t>UMENTS REQUIRED FROM AGENCY FOR</w:t>
      </w:r>
      <w:r w:rsidR="00CF3963">
        <w:rPr>
          <w:b/>
          <w:sz w:val="36"/>
          <w:szCs w:val="36"/>
        </w:rPr>
        <w:t xml:space="preserve"> AN EXPRESSION OF INTEREST (EOI) PROJECT </w:t>
      </w:r>
      <w:r w:rsidR="006C4AD5">
        <w:rPr>
          <w:b/>
          <w:sz w:val="36"/>
          <w:szCs w:val="36"/>
        </w:rPr>
        <w:t>IN EXCESS OF $250,000 OR MORE</w:t>
      </w:r>
    </w:p>
    <w:p w14:paraId="6FB0E970" w14:textId="77777777" w:rsidR="0004727C" w:rsidRDefault="0004727C" w:rsidP="0004727C">
      <w:pPr>
        <w:jc w:val="center"/>
        <w:rPr>
          <w:b/>
        </w:rPr>
      </w:pPr>
    </w:p>
    <w:p w14:paraId="70F86E7D" w14:textId="77777777" w:rsidR="006C4AD5" w:rsidRPr="008E435D" w:rsidRDefault="006C4AD5" w:rsidP="006C4AD5">
      <w:r w:rsidRPr="008E435D">
        <w:rPr>
          <w:b/>
        </w:rPr>
        <w:t>Expression of Interest:</w:t>
      </w:r>
      <w:r w:rsidRPr="008E435D">
        <w:t xml:space="preserve"> </w:t>
      </w:r>
      <w:r w:rsidRPr="008E435D">
        <w:rPr>
          <w:rFonts w:cs="Arial"/>
          <w:color w:val="000000"/>
        </w:rPr>
        <w:t xml:space="preserve">A Best Value Procurement tool used for architectural and engineering services which is defined in </w:t>
      </w:r>
      <w:r w:rsidRPr="008E435D">
        <w:rPr>
          <w:rFonts w:cs="Arial"/>
          <w:b/>
          <w:i/>
          <w:color w:val="000000"/>
        </w:rPr>
        <w:t>West Virginia Code</w:t>
      </w:r>
      <w:r w:rsidRPr="008E435D">
        <w:rPr>
          <w:rFonts w:cs="Arial"/>
          <w:b/>
          <w:color w:val="000000"/>
        </w:rPr>
        <w:t xml:space="preserve"> </w:t>
      </w:r>
      <w:r w:rsidRPr="008E435D">
        <w:rPr>
          <w:rFonts w:cs="Arial"/>
          <w:color w:val="000000"/>
        </w:rPr>
        <w:t>§5G-1, as “those professional services of an architectural or engineering nature as well as incidental services that members of those professions and those in their employ may logically or justifiably perform.”</w:t>
      </w:r>
    </w:p>
    <w:p w14:paraId="05B3948B" w14:textId="77777777" w:rsidR="006C4AD5" w:rsidRDefault="006C4AD5" w:rsidP="006C4AD5">
      <w:r>
        <w:t>The information below is a checklist of agency responsibilities in processing an Expression of Interest. Please note that while this information is accurate in most cases, there may be occasion where additional information may be necessary or required.</w:t>
      </w:r>
    </w:p>
    <w:p w14:paraId="555657F6" w14:textId="77777777" w:rsidR="0004727C" w:rsidRPr="0004727C" w:rsidRDefault="0004727C" w:rsidP="0004727C">
      <w:pPr>
        <w:jc w:val="center"/>
        <w:rPr>
          <w:b/>
          <w:sz w:val="28"/>
          <w:szCs w:val="28"/>
        </w:rPr>
      </w:pPr>
      <w:r>
        <w:rPr>
          <w:b/>
          <w:sz w:val="28"/>
          <w:szCs w:val="28"/>
        </w:rPr>
        <w:t xml:space="preserve">    </w:t>
      </w:r>
      <w:r w:rsidRPr="0004727C">
        <w:rPr>
          <w:b/>
          <w:sz w:val="28"/>
          <w:szCs w:val="28"/>
        </w:rPr>
        <w:t xml:space="preserve">CHECKLIST FOR </w:t>
      </w:r>
      <w:r w:rsidR="00CF3963">
        <w:rPr>
          <w:b/>
          <w:sz w:val="28"/>
          <w:szCs w:val="28"/>
        </w:rPr>
        <w:t xml:space="preserve">EOI </w:t>
      </w:r>
      <w:r w:rsidR="006C4AD5">
        <w:rPr>
          <w:b/>
          <w:sz w:val="28"/>
          <w:szCs w:val="28"/>
        </w:rPr>
        <w:t xml:space="preserve">PROJECTS OF </w:t>
      </w:r>
      <w:r w:rsidR="00CF3963">
        <w:rPr>
          <w:b/>
          <w:sz w:val="28"/>
          <w:szCs w:val="28"/>
        </w:rPr>
        <w:t>$250,000</w:t>
      </w:r>
      <w:r w:rsidR="006C4AD5">
        <w:rPr>
          <w:b/>
          <w:sz w:val="28"/>
          <w:szCs w:val="28"/>
        </w:rPr>
        <w:t xml:space="preserve"> OR MORE</w:t>
      </w:r>
    </w:p>
    <w:tbl>
      <w:tblPr>
        <w:tblStyle w:val="TableGrid"/>
        <w:tblW w:w="0" w:type="auto"/>
        <w:jc w:val="center"/>
        <w:tblLook w:val="04A0" w:firstRow="1" w:lastRow="0" w:firstColumn="1" w:lastColumn="0" w:noHBand="0" w:noVBand="1"/>
      </w:tblPr>
      <w:tblGrid>
        <w:gridCol w:w="403"/>
        <w:gridCol w:w="9173"/>
      </w:tblGrid>
      <w:tr w:rsidR="0004727C" w14:paraId="46245FFB" w14:textId="77777777" w:rsidTr="00604CB3">
        <w:trPr>
          <w:jc w:val="center"/>
        </w:trPr>
        <w:tc>
          <w:tcPr>
            <w:tcW w:w="403" w:type="dxa"/>
            <w:tcBorders>
              <w:bottom w:val="single" w:sz="4" w:space="0" w:color="auto"/>
            </w:tcBorders>
          </w:tcPr>
          <w:p w14:paraId="6C794C6F" w14:textId="77777777" w:rsidR="0004727C" w:rsidRPr="00CF3963" w:rsidRDefault="00F449DC" w:rsidP="0004727C">
            <w:pPr>
              <w:rPr>
                <w:sz w:val="24"/>
                <w:szCs w:val="24"/>
              </w:rPr>
            </w:pPr>
            <w:r>
              <w:rPr>
                <w:rFonts w:cstheme="minorHAnsi"/>
              </w:rPr>
              <w:t>√</w:t>
            </w:r>
          </w:p>
        </w:tc>
        <w:tc>
          <w:tcPr>
            <w:tcW w:w="9173" w:type="dxa"/>
            <w:tcBorders>
              <w:bottom w:val="single" w:sz="4" w:space="0" w:color="auto"/>
            </w:tcBorders>
          </w:tcPr>
          <w:p w14:paraId="047636E3" w14:textId="77777777" w:rsidR="0004727C" w:rsidRPr="0004727C" w:rsidRDefault="0004727C" w:rsidP="0004727C">
            <w:pPr>
              <w:jc w:val="center"/>
              <w:rPr>
                <w:b/>
              </w:rPr>
            </w:pPr>
            <w:r>
              <w:rPr>
                <w:b/>
              </w:rPr>
              <w:t>DESCRIPTION</w:t>
            </w:r>
          </w:p>
        </w:tc>
      </w:tr>
      <w:tr w:rsidR="00604CB3" w14:paraId="739C2C8D" w14:textId="77777777" w:rsidTr="00604CB3">
        <w:trPr>
          <w:jc w:val="center"/>
        </w:trPr>
        <w:tc>
          <w:tcPr>
            <w:tcW w:w="403" w:type="dxa"/>
            <w:tcBorders>
              <w:top w:val="single" w:sz="4" w:space="0" w:color="auto"/>
              <w:bottom w:val="single" w:sz="4" w:space="0" w:color="auto"/>
            </w:tcBorders>
            <w:shd w:val="pct25" w:color="auto" w:fill="auto"/>
          </w:tcPr>
          <w:p w14:paraId="7C82FEE4" w14:textId="77777777" w:rsidR="00604CB3" w:rsidRDefault="00604CB3" w:rsidP="0004727C"/>
        </w:tc>
        <w:tc>
          <w:tcPr>
            <w:tcW w:w="9173" w:type="dxa"/>
            <w:tcBorders>
              <w:top w:val="single" w:sz="4" w:space="0" w:color="auto"/>
              <w:bottom w:val="single" w:sz="4" w:space="0" w:color="auto"/>
            </w:tcBorders>
            <w:shd w:val="pct25" w:color="auto" w:fill="auto"/>
          </w:tcPr>
          <w:p w14:paraId="48796172" w14:textId="77777777" w:rsidR="00604CB3" w:rsidRDefault="00604CB3" w:rsidP="00604CB3">
            <w:pPr>
              <w:rPr>
                <w:b/>
              </w:rPr>
            </w:pPr>
            <w:r>
              <w:rPr>
                <w:b/>
              </w:rPr>
              <w:t>Solicitation</w:t>
            </w:r>
          </w:p>
        </w:tc>
      </w:tr>
      <w:tr w:rsidR="00CF3963" w14:paraId="2D96E16C" w14:textId="77777777" w:rsidTr="00CF3963">
        <w:trPr>
          <w:jc w:val="center"/>
        </w:trPr>
        <w:tc>
          <w:tcPr>
            <w:tcW w:w="403" w:type="dxa"/>
            <w:shd w:val="clear" w:color="auto" w:fill="auto"/>
          </w:tcPr>
          <w:p w14:paraId="49660AC5" w14:textId="77777777" w:rsidR="00CF3963" w:rsidRDefault="00CF3963" w:rsidP="0004727C"/>
        </w:tc>
        <w:tc>
          <w:tcPr>
            <w:tcW w:w="9173" w:type="dxa"/>
            <w:shd w:val="clear" w:color="auto" w:fill="auto"/>
          </w:tcPr>
          <w:p w14:paraId="6AB7F09F" w14:textId="77777777" w:rsidR="00CF3963" w:rsidRPr="00CF3963" w:rsidRDefault="00CF3963" w:rsidP="0004727C">
            <w:r>
              <w:rPr>
                <w:b/>
              </w:rPr>
              <w:t xml:space="preserve">Standard EOI Format Template Completed, </w:t>
            </w:r>
            <w:r>
              <w:t>inclusi</w:t>
            </w:r>
            <w:r w:rsidR="006C4AD5">
              <w:t xml:space="preserve">ve of evaluation point </w:t>
            </w:r>
            <w:r w:rsidR="00F449DC">
              <w:t>criteria,</w:t>
            </w:r>
            <w:r w:rsidR="00853DEE">
              <w:t xml:space="preserve"> </w:t>
            </w:r>
            <w:r w:rsidR="00A24E34" w:rsidRPr="00A24E34">
              <w:rPr>
                <w:color w:val="000000" w:themeColor="text1"/>
              </w:rPr>
              <w:t xml:space="preserve">master </w:t>
            </w:r>
            <w:r w:rsidR="00853DEE" w:rsidRPr="00A24E34">
              <w:rPr>
                <w:color w:val="000000" w:themeColor="text1"/>
              </w:rPr>
              <w:t>terms and conditions</w:t>
            </w:r>
          </w:p>
        </w:tc>
      </w:tr>
      <w:tr w:rsidR="006C4AD5" w14:paraId="1D61D9F4" w14:textId="77777777" w:rsidTr="00CF3963">
        <w:trPr>
          <w:jc w:val="center"/>
        </w:trPr>
        <w:tc>
          <w:tcPr>
            <w:tcW w:w="403" w:type="dxa"/>
            <w:shd w:val="clear" w:color="auto" w:fill="auto"/>
          </w:tcPr>
          <w:p w14:paraId="1052C806" w14:textId="77777777" w:rsidR="006C4AD5" w:rsidRDefault="006C4AD5" w:rsidP="0004727C"/>
        </w:tc>
        <w:tc>
          <w:tcPr>
            <w:tcW w:w="9173" w:type="dxa"/>
            <w:shd w:val="clear" w:color="auto" w:fill="auto"/>
          </w:tcPr>
          <w:p w14:paraId="52D05536" w14:textId="77777777" w:rsidR="006C4AD5" w:rsidRPr="006C4AD5" w:rsidRDefault="006C4AD5" w:rsidP="0004727C">
            <w:pPr>
              <w:rPr>
                <w:b/>
              </w:rPr>
            </w:pPr>
            <w:r w:rsidRPr="006C4AD5">
              <w:rPr>
                <w:b/>
              </w:rPr>
              <w:t>List of Evaluation Committee Members</w:t>
            </w:r>
          </w:p>
        </w:tc>
      </w:tr>
      <w:tr w:rsidR="0004727C" w14:paraId="11C0142A" w14:textId="77777777" w:rsidTr="00604CB3">
        <w:trPr>
          <w:jc w:val="center"/>
        </w:trPr>
        <w:tc>
          <w:tcPr>
            <w:tcW w:w="403" w:type="dxa"/>
            <w:tcBorders>
              <w:bottom w:val="single" w:sz="4" w:space="0" w:color="000000" w:themeColor="text1"/>
            </w:tcBorders>
            <w:shd w:val="clear" w:color="auto" w:fill="auto"/>
          </w:tcPr>
          <w:p w14:paraId="4DF3173E" w14:textId="77777777" w:rsidR="0004727C" w:rsidRDefault="0004727C" w:rsidP="0004727C"/>
        </w:tc>
        <w:tc>
          <w:tcPr>
            <w:tcW w:w="9173" w:type="dxa"/>
            <w:tcBorders>
              <w:bottom w:val="single" w:sz="4" w:space="0" w:color="000000" w:themeColor="text1"/>
            </w:tcBorders>
            <w:shd w:val="clear" w:color="auto" w:fill="auto"/>
          </w:tcPr>
          <w:p w14:paraId="01CF88CF" w14:textId="77777777" w:rsidR="0004727C" w:rsidRDefault="0004727C" w:rsidP="00CA5918">
            <w:r w:rsidRPr="0004727C">
              <w:rPr>
                <w:b/>
              </w:rPr>
              <w:t>Pre-approvals</w:t>
            </w:r>
            <w:r>
              <w:t>, when applicable</w:t>
            </w:r>
            <w:r w:rsidR="006C4AD5">
              <w:t xml:space="preserve"> (such as Attorney General, Chief Technology Officer/IS&amp;C, Capitol Building Commission, Surplus Property, Statewide Interoperability Executive Committee)</w:t>
            </w:r>
          </w:p>
        </w:tc>
      </w:tr>
      <w:tr w:rsidR="00604CB3" w14:paraId="2FB62D6A" w14:textId="77777777" w:rsidTr="00604CB3">
        <w:trPr>
          <w:jc w:val="center"/>
        </w:trPr>
        <w:tc>
          <w:tcPr>
            <w:tcW w:w="403" w:type="dxa"/>
            <w:tcBorders>
              <w:bottom w:val="single" w:sz="4" w:space="0" w:color="000000" w:themeColor="text1"/>
            </w:tcBorders>
            <w:shd w:val="pct25" w:color="auto" w:fill="auto"/>
          </w:tcPr>
          <w:p w14:paraId="10D2541F" w14:textId="77777777" w:rsidR="00604CB3" w:rsidRDefault="00604CB3" w:rsidP="0004727C"/>
        </w:tc>
        <w:tc>
          <w:tcPr>
            <w:tcW w:w="9173" w:type="dxa"/>
            <w:tcBorders>
              <w:bottom w:val="single" w:sz="4" w:space="0" w:color="000000" w:themeColor="text1"/>
            </w:tcBorders>
            <w:shd w:val="pct25" w:color="auto" w:fill="auto"/>
          </w:tcPr>
          <w:p w14:paraId="6FF1F0F7" w14:textId="77777777" w:rsidR="00604CB3" w:rsidRPr="0004727C" w:rsidRDefault="00604CB3" w:rsidP="00604CB3">
            <w:pPr>
              <w:rPr>
                <w:b/>
              </w:rPr>
            </w:pPr>
            <w:r>
              <w:rPr>
                <w:b/>
              </w:rPr>
              <w:t>Bid Process</w:t>
            </w:r>
          </w:p>
        </w:tc>
      </w:tr>
      <w:tr w:rsidR="0004727C" w14:paraId="005CB5C8" w14:textId="77777777" w:rsidTr="00CF3963">
        <w:trPr>
          <w:jc w:val="center"/>
        </w:trPr>
        <w:tc>
          <w:tcPr>
            <w:tcW w:w="403" w:type="dxa"/>
            <w:shd w:val="clear" w:color="auto" w:fill="auto"/>
          </w:tcPr>
          <w:p w14:paraId="7AF914BE" w14:textId="77777777" w:rsidR="0004727C" w:rsidRDefault="0004727C" w:rsidP="0004727C"/>
        </w:tc>
        <w:tc>
          <w:tcPr>
            <w:tcW w:w="9173" w:type="dxa"/>
            <w:shd w:val="clear" w:color="auto" w:fill="auto"/>
          </w:tcPr>
          <w:p w14:paraId="409DCA0A" w14:textId="77777777" w:rsidR="0004727C" w:rsidRPr="0004727C" w:rsidRDefault="0004727C" w:rsidP="0004727C">
            <w:r w:rsidRPr="0004727C">
              <w:rPr>
                <w:b/>
              </w:rPr>
              <w:t>Mandatory</w:t>
            </w:r>
            <w:r>
              <w:rPr>
                <w:b/>
              </w:rPr>
              <w:t xml:space="preserve"> Pre-bid Attendee List</w:t>
            </w:r>
            <w:r>
              <w:t>, if applicable.</w:t>
            </w:r>
          </w:p>
        </w:tc>
      </w:tr>
      <w:tr w:rsidR="0004727C" w14:paraId="0086AC05" w14:textId="77777777" w:rsidTr="00604CB3">
        <w:trPr>
          <w:jc w:val="center"/>
        </w:trPr>
        <w:tc>
          <w:tcPr>
            <w:tcW w:w="403" w:type="dxa"/>
            <w:tcBorders>
              <w:bottom w:val="single" w:sz="4" w:space="0" w:color="000000" w:themeColor="text1"/>
            </w:tcBorders>
            <w:shd w:val="clear" w:color="auto" w:fill="auto"/>
          </w:tcPr>
          <w:p w14:paraId="7FB66C74" w14:textId="77777777" w:rsidR="0004727C" w:rsidRDefault="0004727C" w:rsidP="0004727C"/>
        </w:tc>
        <w:tc>
          <w:tcPr>
            <w:tcW w:w="9173" w:type="dxa"/>
            <w:tcBorders>
              <w:bottom w:val="single" w:sz="4" w:space="0" w:color="000000" w:themeColor="text1"/>
            </w:tcBorders>
            <w:shd w:val="clear" w:color="auto" w:fill="auto"/>
          </w:tcPr>
          <w:p w14:paraId="146BA431" w14:textId="77777777" w:rsidR="0004727C" w:rsidRPr="0004727C" w:rsidRDefault="0004727C" w:rsidP="006C4AD5">
            <w:r>
              <w:rPr>
                <w:b/>
              </w:rPr>
              <w:t>Addendums</w:t>
            </w:r>
            <w:r>
              <w:t>, if applicable</w:t>
            </w:r>
            <w:r>
              <w:rPr>
                <w:b/>
              </w:rPr>
              <w:t xml:space="preserve"> </w:t>
            </w:r>
            <w:r>
              <w:t>(Information prepared by agency for pro</w:t>
            </w:r>
            <w:r w:rsidR="00F449DC">
              <w:t>cessing by Purchasing Division)</w:t>
            </w:r>
          </w:p>
        </w:tc>
      </w:tr>
      <w:tr w:rsidR="00604CB3" w14:paraId="51701DEC" w14:textId="77777777" w:rsidTr="00604CB3">
        <w:trPr>
          <w:jc w:val="center"/>
        </w:trPr>
        <w:tc>
          <w:tcPr>
            <w:tcW w:w="403" w:type="dxa"/>
            <w:tcBorders>
              <w:bottom w:val="single" w:sz="4" w:space="0" w:color="000000" w:themeColor="text1"/>
            </w:tcBorders>
            <w:shd w:val="pct25" w:color="auto" w:fill="auto"/>
          </w:tcPr>
          <w:p w14:paraId="4981E27B" w14:textId="77777777" w:rsidR="00604CB3" w:rsidRDefault="00604CB3" w:rsidP="0004727C"/>
        </w:tc>
        <w:tc>
          <w:tcPr>
            <w:tcW w:w="9173" w:type="dxa"/>
            <w:tcBorders>
              <w:bottom w:val="single" w:sz="4" w:space="0" w:color="000000" w:themeColor="text1"/>
            </w:tcBorders>
            <w:shd w:val="pct25" w:color="auto" w:fill="auto"/>
          </w:tcPr>
          <w:p w14:paraId="16DA5809" w14:textId="77777777" w:rsidR="00604CB3" w:rsidRDefault="00604CB3" w:rsidP="0004727C">
            <w:pPr>
              <w:rPr>
                <w:b/>
              </w:rPr>
            </w:pPr>
            <w:r>
              <w:rPr>
                <w:b/>
              </w:rPr>
              <w:t>Award Process</w:t>
            </w:r>
          </w:p>
        </w:tc>
      </w:tr>
      <w:tr w:rsidR="00CF3963" w14:paraId="22A8CF76" w14:textId="77777777" w:rsidTr="00CF3963">
        <w:trPr>
          <w:jc w:val="center"/>
        </w:trPr>
        <w:tc>
          <w:tcPr>
            <w:tcW w:w="403" w:type="dxa"/>
            <w:tcBorders>
              <w:bottom w:val="single" w:sz="4" w:space="0" w:color="000000" w:themeColor="text1"/>
            </w:tcBorders>
            <w:shd w:val="clear" w:color="auto" w:fill="auto"/>
          </w:tcPr>
          <w:p w14:paraId="5538B99B" w14:textId="77777777" w:rsidR="00CF3963" w:rsidRDefault="00CF3963" w:rsidP="0004727C"/>
        </w:tc>
        <w:tc>
          <w:tcPr>
            <w:tcW w:w="9173" w:type="dxa"/>
            <w:tcBorders>
              <w:bottom w:val="single" w:sz="4" w:space="0" w:color="000000" w:themeColor="text1"/>
            </w:tcBorders>
            <w:shd w:val="clear" w:color="auto" w:fill="auto"/>
          </w:tcPr>
          <w:p w14:paraId="7C354519" w14:textId="77777777" w:rsidR="00CF3963" w:rsidRDefault="00CF3963" w:rsidP="0004727C">
            <w:pPr>
              <w:rPr>
                <w:b/>
              </w:rPr>
            </w:pPr>
            <w:r w:rsidRPr="00E05117">
              <w:rPr>
                <w:b/>
              </w:rPr>
              <w:t>Certification of Non-Conflict of Interest</w:t>
            </w:r>
            <w:r>
              <w:t xml:space="preserve"> (signed by Evaluation Committee Members, Advisors, </w:t>
            </w:r>
            <w:r w:rsidR="006C4AD5">
              <w:t>and Agency Procurement Officer)</w:t>
            </w:r>
          </w:p>
        </w:tc>
      </w:tr>
      <w:tr w:rsidR="0004727C" w14:paraId="5A15E2CB" w14:textId="77777777" w:rsidTr="00CF3963">
        <w:trPr>
          <w:jc w:val="center"/>
        </w:trPr>
        <w:tc>
          <w:tcPr>
            <w:tcW w:w="403" w:type="dxa"/>
            <w:shd w:val="clear" w:color="auto" w:fill="auto"/>
          </w:tcPr>
          <w:p w14:paraId="412BB39D" w14:textId="77777777" w:rsidR="0004727C" w:rsidRDefault="0004727C" w:rsidP="0004727C"/>
        </w:tc>
        <w:tc>
          <w:tcPr>
            <w:tcW w:w="9173" w:type="dxa"/>
            <w:shd w:val="clear" w:color="auto" w:fill="auto"/>
          </w:tcPr>
          <w:p w14:paraId="44966E65" w14:textId="77777777" w:rsidR="0004727C" w:rsidRPr="00E05117" w:rsidRDefault="00CF3963" w:rsidP="00CF3963">
            <w:r>
              <w:rPr>
                <w:b/>
              </w:rPr>
              <w:t>Evaluation Signed by Al</w:t>
            </w:r>
            <w:r w:rsidR="006C4AD5">
              <w:rPr>
                <w:b/>
              </w:rPr>
              <w:t>l Evaluation Committee Members</w:t>
            </w:r>
          </w:p>
        </w:tc>
      </w:tr>
      <w:tr w:rsidR="0004727C" w14:paraId="4F936DAD" w14:textId="77777777" w:rsidTr="00E34BE9">
        <w:trPr>
          <w:jc w:val="center"/>
        </w:trPr>
        <w:tc>
          <w:tcPr>
            <w:tcW w:w="403" w:type="dxa"/>
          </w:tcPr>
          <w:p w14:paraId="14AA783D" w14:textId="77777777" w:rsidR="0004727C" w:rsidRDefault="0004727C" w:rsidP="0004727C"/>
        </w:tc>
        <w:tc>
          <w:tcPr>
            <w:tcW w:w="9173" w:type="dxa"/>
          </w:tcPr>
          <w:p w14:paraId="6AD3849D" w14:textId="77777777" w:rsidR="0004727C" w:rsidRPr="00CF3963" w:rsidRDefault="00CF3963" w:rsidP="006C4AD5">
            <w:r>
              <w:rPr>
                <w:b/>
              </w:rPr>
              <w:t xml:space="preserve">Purchasing Division Approves Agency Evaluation and Authorizes Agency to Negotiate with Highest Scoring Firm </w:t>
            </w:r>
          </w:p>
        </w:tc>
      </w:tr>
      <w:tr w:rsidR="00CF3963" w14:paraId="13356AE0" w14:textId="77777777" w:rsidTr="00E34BE9">
        <w:trPr>
          <w:jc w:val="center"/>
        </w:trPr>
        <w:tc>
          <w:tcPr>
            <w:tcW w:w="403" w:type="dxa"/>
          </w:tcPr>
          <w:p w14:paraId="65E35C63" w14:textId="77777777" w:rsidR="00CF3963" w:rsidRDefault="00CF3963" w:rsidP="0004727C"/>
        </w:tc>
        <w:tc>
          <w:tcPr>
            <w:tcW w:w="9173" w:type="dxa"/>
          </w:tcPr>
          <w:p w14:paraId="5E5C3A4C" w14:textId="28076920" w:rsidR="00CF3963" w:rsidRPr="00CF3963" w:rsidRDefault="00CF3963" w:rsidP="0004727C">
            <w:pPr>
              <w:rPr>
                <w:b/>
              </w:rPr>
            </w:pPr>
            <w:r>
              <w:rPr>
                <w:b/>
              </w:rPr>
              <w:t>Agency Submits Contract with Successful Firm for Proces</w:t>
            </w:r>
            <w:r w:rsidR="006C4AD5">
              <w:rPr>
                <w:b/>
              </w:rPr>
              <w:t xml:space="preserve">sing by the Purchasing Division </w:t>
            </w:r>
            <w:r w:rsidR="006C4AD5">
              <w:t xml:space="preserve">(AIA </w:t>
            </w:r>
            <w:r w:rsidR="00F449DC">
              <w:t xml:space="preserve">Document </w:t>
            </w:r>
            <w:r w:rsidR="006C4AD5">
              <w:t>or other negotiated agreement, as applicable, with inclusion of Terms and Conditions)</w:t>
            </w:r>
          </w:p>
        </w:tc>
      </w:tr>
      <w:tr w:rsidR="00D71608" w:rsidRPr="00D71608" w14:paraId="6BB93933" w14:textId="77777777" w:rsidTr="00E34BE9">
        <w:trPr>
          <w:jc w:val="center"/>
        </w:trPr>
        <w:tc>
          <w:tcPr>
            <w:tcW w:w="403" w:type="dxa"/>
          </w:tcPr>
          <w:p w14:paraId="2BA570B7" w14:textId="77777777" w:rsidR="00E05117" w:rsidRPr="00D71608" w:rsidRDefault="00E05117" w:rsidP="0004727C"/>
        </w:tc>
        <w:tc>
          <w:tcPr>
            <w:tcW w:w="9173" w:type="dxa"/>
          </w:tcPr>
          <w:p w14:paraId="04E1F679" w14:textId="77777777" w:rsidR="00E05117" w:rsidRPr="00D71608" w:rsidRDefault="006C4AD5" w:rsidP="0004727C">
            <w:pPr>
              <w:rPr>
                <w:b/>
              </w:rPr>
            </w:pPr>
            <w:r w:rsidRPr="00D71608">
              <w:rPr>
                <w:b/>
              </w:rPr>
              <w:t xml:space="preserve">Verification of Vendor Properly Registered with the Purchasing Division </w:t>
            </w:r>
            <w:r w:rsidRPr="00D71608">
              <w:t>(check for suspension or debarment)</w:t>
            </w:r>
            <w:r w:rsidR="00B86564" w:rsidRPr="00D71608">
              <w:t xml:space="preserve">, and </w:t>
            </w:r>
            <w:r w:rsidR="00B86564" w:rsidRPr="00D71608">
              <w:rPr>
                <w:b/>
              </w:rPr>
              <w:t xml:space="preserve">ensure Taxpayer Identification Number (TIN) in </w:t>
            </w:r>
            <w:r w:rsidR="00B86564" w:rsidRPr="00D71608">
              <w:rPr>
                <w:b/>
                <w:i/>
              </w:rPr>
              <w:t>wv</w:t>
            </w:r>
            <w:r w:rsidR="00B86564" w:rsidRPr="00D71608">
              <w:rPr>
                <w:b/>
              </w:rPr>
              <w:t>OASIS matches the TIN on the bid</w:t>
            </w:r>
          </w:p>
        </w:tc>
      </w:tr>
      <w:tr w:rsidR="00D71608" w:rsidRPr="00D71608" w14:paraId="376DF441" w14:textId="77777777" w:rsidTr="00E34BE9">
        <w:trPr>
          <w:jc w:val="center"/>
        </w:trPr>
        <w:tc>
          <w:tcPr>
            <w:tcW w:w="403" w:type="dxa"/>
          </w:tcPr>
          <w:p w14:paraId="3BD4510A" w14:textId="77777777" w:rsidR="00E05117" w:rsidRPr="00D71608" w:rsidRDefault="00E05117" w:rsidP="0004727C"/>
        </w:tc>
        <w:tc>
          <w:tcPr>
            <w:tcW w:w="9173" w:type="dxa"/>
          </w:tcPr>
          <w:p w14:paraId="5B35BBAE" w14:textId="77777777" w:rsidR="00E05117" w:rsidRPr="00D71608" w:rsidRDefault="006C4AD5" w:rsidP="0004727C">
            <w:r w:rsidRPr="00D71608">
              <w:rPr>
                <w:b/>
              </w:rPr>
              <w:t xml:space="preserve">Verification of Vendor in Good Standing within </w:t>
            </w:r>
            <w:r w:rsidRPr="00D71608">
              <w:rPr>
                <w:b/>
                <w:i/>
              </w:rPr>
              <w:t>wv</w:t>
            </w:r>
            <w:r w:rsidRPr="00D71608">
              <w:rPr>
                <w:b/>
              </w:rPr>
              <w:t xml:space="preserve">OASIS </w:t>
            </w:r>
            <w:r w:rsidRPr="00D71608">
              <w:t>(with all laws and requirements of the state, including Insurance Commission, Federal</w:t>
            </w:r>
            <w:r w:rsidR="00156F57" w:rsidRPr="00D71608">
              <w:t xml:space="preserve"> and State </w:t>
            </w:r>
            <w:r w:rsidRPr="00D71608">
              <w:t>Debarment and Workers Compensation)</w:t>
            </w:r>
          </w:p>
        </w:tc>
      </w:tr>
      <w:tr w:rsidR="00D71608" w:rsidRPr="00D71608" w14:paraId="633CE159" w14:textId="77777777" w:rsidTr="00E34BE9">
        <w:trPr>
          <w:jc w:val="center"/>
        </w:trPr>
        <w:tc>
          <w:tcPr>
            <w:tcW w:w="403" w:type="dxa"/>
          </w:tcPr>
          <w:p w14:paraId="104026A0" w14:textId="77777777" w:rsidR="006C4AD5" w:rsidRPr="00D71608" w:rsidRDefault="006C4AD5" w:rsidP="0004727C"/>
        </w:tc>
        <w:tc>
          <w:tcPr>
            <w:tcW w:w="9173" w:type="dxa"/>
          </w:tcPr>
          <w:p w14:paraId="081686C5" w14:textId="77777777" w:rsidR="006C4AD5" w:rsidRPr="00D71608" w:rsidRDefault="006C4AD5" w:rsidP="0004727C">
            <w:pPr>
              <w:rPr>
                <w:b/>
              </w:rPr>
            </w:pPr>
            <w:r w:rsidRPr="00D71608">
              <w:rPr>
                <w:b/>
              </w:rPr>
              <w:t xml:space="preserve">Verification of Vendor in Good Standing with Secretary of State </w:t>
            </w:r>
            <w:r w:rsidRPr="00D71608">
              <w:t>(check the Secretary of State’s database)</w:t>
            </w:r>
          </w:p>
        </w:tc>
      </w:tr>
      <w:tr w:rsidR="00D71608" w:rsidRPr="00D71608" w14:paraId="1B0C7C95" w14:textId="77777777" w:rsidTr="00E34BE9">
        <w:trPr>
          <w:jc w:val="center"/>
        </w:trPr>
        <w:tc>
          <w:tcPr>
            <w:tcW w:w="403" w:type="dxa"/>
          </w:tcPr>
          <w:p w14:paraId="1D226BA3" w14:textId="77777777" w:rsidR="00E05117" w:rsidRPr="00D71608" w:rsidRDefault="00E05117" w:rsidP="0004727C"/>
        </w:tc>
        <w:tc>
          <w:tcPr>
            <w:tcW w:w="9173" w:type="dxa"/>
          </w:tcPr>
          <w:p w14:paraId="4C88114C" w14:textId="77777777" w:rsidR="00E05117" w:rsidRPr="00D71608" w:rsidRDefault="00E05117" w:rsidP="00257722">
            <w:r w:rsidRPr="00D71608">
              <w:rPr>
                <w:b/>
              </w:rPr>
              <w:t xml:space="preserve">WV-96 Agreement Addendum </w:t>
            </w:r>
            <w:r w:rsidRPr="00D71608">
              <w:t>signed by vendor and</w:t>
            </w:r>
            <w:r w:rsidR="00F449DC" w:rsidRPr="00D71608">
              <w:t xml:space="preserve"> agency, if applicable</w:t>
            </w:r>
          </w:p>
        </w:tc>
      </w:tr>
      <w:tr w:rsidR="00E05117" w:rsidRPr="00D71608" w14:paraId="4F81F8EA" w14:textId="77777777" w:rsidTr="00E34BE9">
        <w:trPr>
          <w:jc w:val="center"/>
        </w:trPr>
        <w:tc>
          <w:tcPr>
            <w:tcW w:w="403" w:type="dxa"/>
          </w:tcPr>
          <w:p w14:paraId="49143027" w14:textId="77777777" w:rsidR="00E05117" w:rsidRPr="00D71608" w:rsidRDefault="00E05117" w:rsidP="0004727C"/>
        </w:tc>
        <w:tc>
          <w:tcPr>
            <w:tcW w:w="9173" w:type="dxa"/>
          </w:tcPr>
          <w:p w14:paraId="268821B6" w14:textId="77777777" w:rsidR="00E05117" w:rsidRPr="00D71608" w:rsidRDefault="00E05117" w:rsidP="00E05117">
            <w:pPr>
              <w:rPr>
                <w:b/>
              </w:rPr>
            </w:pPr>
            <w:r w:rsidRPr="00D71608">
              <w:rPr>
                <w:b/>
              </w:rPr>
              <w:t>Purchasing Division obtains bond</w:t>
            </w:r>
            <w:r w:rsidR="00F449DC" w:rsidRPr="00D71608">
              <w:rPr>
                <w:b/>
              </w:rPr>
              <w:t>s and insurance, if applicable</w:t>
            </w:r>
          </w:p>
        </w:tc>
      </w:tr>
    </w:tbl>
    <w:p w14:paraId="483712E2" w14:textId="77777777" w:rsidR="0004727C" w:rsidRPr="00D71608" w:rsidRDefault="0004727C" w:rsidP="0004727C"/>
    <w:p w14:paraId="03DC34D5" w14:textId="189AF0FB" w:rsidR="00CF3963" w:rsidRPr="00D71608" w:rsidRDefault="00156F57" w:rsidP="0004727C">
      <w:r w:rsidRPr="00D71608">
        <w:rPr>
          <w:i/>
          <w:sz w:val="20"/>
          <w:szCs w:val="20"/>
        </w:rPr>
        <w:t xml:space="preserve">Revised </w:t>
      </w:r>
      <w:r w:rsidR="008C03EB">
        <w:rPr>
          <w:i/>
          <w:sz w:val="20"/>
          <w:szCs w:val="20"/>
        </w:rPr>
        <w:t>July 1, 2022</w:t>
      </w:r>
    </w:p>
    <w:sectPr w:rsidR="00CF3963" w:rsidRPr="00D71608" w:rsidSect="00E34B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04727C"/>
    <w:rsid w:val="0004727C"/>
    <w:rsid w:val="00093D17"/>
    <w:rsid w:val="0010372D"/>
    <w:rsid w:val="00156F57"/>
    <w:rsid w:val="00213B4B"/>
    <w:rsid w:val="00257722"/>
    <w:rsid w:val="002629EF"/>
    <w:rsid w:val="002A6763"/>
    <w:rsid w:val="003575FE"/>
    <w:rsid w:val="003671A5"/>
    <w:rsid w:val="00486D0F"/>
    <w:rsid w:val="00593151"/>
    <w:rsid w:val="00604CB3"/>
    <w:rsid w:val="006B1310"/>
    <w:rsid w:val="006C4AD5"/>
    <w:rsid w:val="007740FE"/>
    <w:rsid w:val="007A615A"/>
    <w:rsid w:val="00853DEE"/>
    <w:rsid w:val="0087521B"/>
    <w:rsid w:val="008C03EB"/>
    <w:rsid w:val="008E5CE2"/>
    <w:rsid w:val="00A24E34"/>
    <w:rsid w:val="00B86564"/>
    <w:rsid w:val="00C87A31"/>
    <w:rsid w:val="00C962F9"/>
    <w:rsid w:val="00CA5918"/>
    <w:rsid w:val="00CF3963"/>
    <w:rsid w:val="00D0467F"/>
    <w:rsid w:val="00D45316"/>
    <w:rsid w:val="00D62995"/>
    <w:rsid w:val="00D71608"/>
    <w:rsid w:val="00E05117"/>
    <w:rsid w:val="00E34BE9"/>
    <w:rsid w:val="00E41846"/>
    <w:rsid w:val="00F32534"/>
    <w:rsid w:val="00F44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6F9D2"/>
  <w15:docId w15:val="{37DE2061-26A5-4ED6-8039-E23E2F85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8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72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0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WVOT</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b321016</dc:creator>
  <cp:lastModifiedBy>Knapp, Samantha S</cp:lastModifiedBy>
  <cp:revision>22</cp:revision>
  <cp:lastPrinted>2016-04-01T19:26:00Z</cp:lastPrinted>
  <dcterms:created xsi:type="dcterms:W3CDTF">2012-02-29T03:09:00Z</dcterms:created>
  <dcterms:modified xsi:type="dcterms:W3CDTF">2022-08-15T15:01:00Z</dcterms:modified>
</cp:coreProperties>
</file>